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8B" w:rsidRPr="00A95D8C" w:rsidRDefault="007E6D8B" w:rsidP="007E6D8B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  <w:lang w:val="en-US"/>
        </w:rPr>
        <w:t>JK</w:t>
      </w:r>
      <w:r w:rsidRPr="00A95D8C">
        <w:rPr>
          <w:b/>
          <w:sz w:val="28"/>
          <w:szCs w:val="28"/>
        </w:rPr>
        <w:t xml:space="preserve"> – триггер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-триггеры подразделяются на универсальные и комбинированные. Универсальный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-триггеры имеет два информационных входа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>. По вх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ду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триггер устанавливается в состояние </w:t>
      </w:r>
      <w:r w:rsidRPr="00A95D8C">
        <w:rPr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5" o:title=""/>
          </v:shape>
          <o:OLEObject Type="Embed" ProgID="Equation.3" ShapeID="_x0000_i1025" DrawAspect="Content" ObjectID="_1638262717" r:id="rId6"/>
        </w:object>
      </w:r>
      <w:r w:rsidRPr="00A95D8C">
        <w:rPr>
          <w:sz w:val="28"/>
          <w:szCs w:val="28"/>
        </w:rPr>
        <w:t xml:space="preserve">=1, </w:t>
      </w:r>
      <w:r w:rsidRPr="00A95D8C">
        <w:rPr>
          <w:position w:val="-12"/>
          <w:sz w:val="28"/>
          <w:szCs w:val="28"/>
        </w:rPr>
        <w:object w:dxaOrig="279" w:dyaOrig="420">
          <v:shape id="_x0000_i1026" type="#_x0000_t75" style="width:14.25pt;height:21pt" o:ole="">
            <v:imagedata r:id="rId7" o:title=""/>
          </v:shape>
          <o:OLEObject Type="Embed" ProgID="Equation.3" ShapeID="_x0000_i1026" DrawAspect="Content" ObjectID="_1638262718" r:id="rId8"/>
        </w:object>
      </w:r>
      <w:r w:rsidRPr="00A95D8C">
        <w:rPr>
          <w:sz w:val="28"/>
          <w:szCs w:val="28"/>
        </w:rPr>
        <w:t xml:space="preserve">=0, по входу К- в состояние </w:t>
      </w:r>
      <w:r w:rsidRPr="00A95D8C">
        <w:rPr>
          <w:position w:val="-12"/>
          <w:sz w:val="28"/>
          <w:szCs w:val="28"/>
        </w:rPr>
        <w:object w:dxaOrig="279" w:dyaOrig="360">
          <v:shape id="_x0000_i1027" type="#_x0000_t75" style="width:14.25pt;height:18pt" o:ole="">
            <v:imagedata r:id="rId5" o:title=""/>
          </v:shape>
          <o:OLEObject Type="Embed" ProgID="Equation.3" ShapeID="_x0000_i1027" DrawAspect="Content" ObjectID="_1638262719" r:id="rId9"/>
        </w:object>
      </w:r>
      <w:r w:rsidRPr="00A95D8C">
        <w:rPr>
          <w:sz w:val="28"/>
          <w:szCs w:val="28"/>
        </w:rPr>
        <w:t xml:space="preserve">=0, </w:t>
      </w:r>
      <w:r w:rsidRPr="00A95D8C">
        <w:rPr>
          <w:position w:val="-12"/>
          <w:sz w:val="28"/>
          <w:szCs w:val="28"/>
        </w:rPr>
        <w:object w:dxaOrig="279" w:dyaOrig="420">
          <v:shape id="_x0000_i1028" type="#_x0000_t75" style="width:14.25pt;height:21pt" o:ole="">
            <v:imagedata r:id="rId7" o:title=""/>
          </v:shape>
          <o:OLEObject Type="Embed" ProgID="Equation.3" ShapeID="_x0000_i1028" DrawAspect="Content" ObjectID="_1638262720" r:id="rId10"/>
        </w:object>
      </w:r>
      <w:r w:rsidRPr="00A95D8C">
        <w:rPr>
          <w:sz w:val="28"/>
          <w:szCs w:val="28"/>
        </w:rPr>
        <w:t>=1.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отличается от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триггера прежде всего тем, что в нем ус</w:t>
      </w:r>
      <w:r w:rsidRPr="00A95D8C">
        <w:rPr>
          <w:sz w:val="28"/>
          <w:szCs w:val="28"/>
        </w:rPr>
        <w:t>т</w:t>
      </w:r>
      <w:r w:rsidRPr="00A95D8C">
        <w:rPr>
          <w:sz w:val="28"/>
          <w:szCs w:val="28"/>
        </w:rPr>
        <w:t xml:space="preserve">ранена неопределенность, которая возникает в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-триггере при определенной комбинации входных сигналов.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Универсальность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состоит в том, что он может выполнять функции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-, </w:t>
      </w:r>
      <w:r w:rsidRPr="00A95D8C">
        <w:rPr>
          <w:sz w:val="28"/>
          <w:szCs w:val="28"/>
          <w:lang w:val="en-US"/>
        </w:rPr>
        <w:t>T</w:t>
      </w:r>
      <w:r w:rsidRPr="00A95D8C">
        <w:rPr>
          <w:sz w:val="28"/>
          <w:szCs w:val="28"/>
        </w:rPr>
        <w:t xml:space="preserve">-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-триггеров.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Комбинированный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отличается от универсального наличием асинхронных </w:t>
      </w:r>
      <w:proofErr w:type="gramStart"/>
      <w:r w:rsidRPr="00A95D8C">
        <w:rPr>
          <w:sz w:val="28"/>
          <w:szCs w:val="28"/>
        </w:rPr>
        <w:t xml:space="preserve">входов  </w:t>
      </w:r>
      <w:r w:rsidRPr="00A95D8C">
        <w:rPr>
          <w:sz w:val="28"/>
          <w:szCs w:val="28"/>
          <w:lang w:val="en-US"/>
        </w:rPr>
        <w:t>S</w:t>
      </w:r>
      <w:proofErr w:type="gramEnd"/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 xml:space="preserve"> для предварительной установки триггера в опр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деленное состояние (логической 1 или 1).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Простейший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можно получить из 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-триггера, если ввести дополнительные обратные связи с выходов триггера на входы, которые позволяют устранить неопределенность в таблице состояний (</w:t>
      </w:r>
      <w:r w:rsidRPr="00A95D8C">
        <w:rPr>
          <w:i/>
          <w:sz w:val="28"/>
          <w:szCs w:val="28"/>
        </w:rPr>
        <w:t>рис.</w:t>
      </w:r>
      <w:r w:rsidRPr="00A95D8C">
        <w:rPr>
          <w:sz w:val="28"/>
          <w:szCs w:val="28"/>
        </w:rPr>
        <w:t>5.1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).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200400" cy="2619375"/>
            <wp:effectExtent l="0" t="0" r="0" b="9525"/>
            <wp:docPr id="5" name="Рисунок 5" descr="JK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Kрис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190750" cy="2400300"/>
            <wp:effectExtent l="0" t="0" r="0" b="0"/>
            <wp:docPr id="4" name="Рисунок 4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</w:t>
      </w:r>
      <w:proofErr w:type="gramStart"/>
      <w:r w:rsidRPr="00A95D8C">
        <w:rPr>
          <w:sz w:val="28"/>
          <w:szCs w:val="28"/>
        </w:rPr>
        <w:t xml:space="preserve">а)   </w:t>
      </w:r>
      <w:proofErr w:type="gramEnd"/>
      <w:r w:rsidRPr="00A95D8C">
        <w:rPr>
          <w:sz w:val="28"/>
          <w:szCs w:val="28"/>
        </w:rPr>
        <w:t xml:space="preserve">                                                       б)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4238625" cy="1400175"/>
            <wp:effectExtent l="0" t="0" r="9525" b="9525"/>
            <wp:docPr id="3" name="Рисунок 3" descr="обозн%20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озн%20J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</w:t>
      </w:r>
      <w:proofErr w:type="gramStart"/>
      <w:r w:rsidRPr="00A95D8C">
        <w:rPr>
          <w:sz w:val="28"/>
          <w:szCs w:val="28"/>
        </w:rPr>
        <w:t xml:space="preserve">в)   </w:t>
      </w:r>
      <w:proofErr w:type="gramEnd"/>
      <w:r w:rsidRPr="00A95D8C">
        <w:rPr>
          <w:sz w:val="28"/>
          <w:szCs w:val="28"/>
        </w:rPr>
        <w:t xml:space="preserve">                                                        г)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5.1,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- Преобразование синхронного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-триггера в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>-триггер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,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объединить, то получим Т-триггер, который пер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ключается каждым входным импульсом (</w:t>
      </w:r>
      <w:r w:rsidRPr="00A95D8C">
        <w:rPr>
          <w:i/>
          <w:sz w:val="28"/>
          <w:szCs w:val="28"/>
        </w:rPr>
        <w:t>рис.</w:t>
      </w:r>
      <w:r w:rsidRPr="00A95D8C">
        <w:rPr>
          <w:sz w:val="28"/>
          <w:szCs w:val="28"/>
        </w:rPr>
        <w:t xml:space="preserve"> 5.1,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 рис. 5.1, </w:t>
      </w:r>
      <w:r w:rsidRPr="00A95D8C">
        <w:rPr>
          <w:i/>
          <w:sz w:val="28"/>
          <w:szCs w:val="28"/>
        </w:rPr>
        <w:t>в</w:t>
      </w:r>
      <w:r w:rsidRPr="00A95D8C">
        <w:rPr>
          <w:sz w:val="28"/>
          <w:szCs w:val="28"/>
        </w:rPr>
        <w:t xml:space="preserve"> приведено условное обозначение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и таблица состояний. При входных сигналах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=0 состояние триггера не изменяется, так как напряжение низкого уровня на одном входе элемента </w:t>
      </w:r>
      <w:proofErr w:type="gramStart"/>
      <w:r w:rsidRPr="00A95D8C">
        <w:rPr>
          <w:sz w:val="28"/>
          <w:szCs w:val="28"/>
        </w:rPr>
        <w:t>И-НЕ</w:t>
      </w:r>
      <w:proofErr w:type="gramEnd"/>
      <w:r w:rsidRPr="00A95D8C">
        <w:rPr>
          <w:sz w:val="28"/>
          <w:szCs w:val="28"/>
        </w:rPr>
        <w:t xml:space="preserve"> отменяет прохождение сигналов от других его входов и удерживает выходной сигнал на высоком уровне. Если на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подать взаимно противоположные уровни, то при подаче перепада напряжения на вход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выходы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устанавливаются в такие же состояния. При подаче на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одновр</w:t>
      </w:r>
      <w:r w:rsidRPr="00A95D8C">
        <w:rPr>
          <w:sz w:val="28"/>
          <w:szCs w:val="28"/>
        </w:rPr>
        <w:t>е</w:t>
      </w:r>
      <w:r w:rsidRPr="00A95D8C">
        <w:rPr>
          <w:sz w:val="28"/>
          <w:szCs w:val="28"/>
        </w:rPr>
        <w:t>менно напряжений высокого уровня триггер переключается в состояние, пр</w:t>
      </w:r>
      <w:r w:rsidRPr="00A95D8C">
        <w:rPr>
          <w:sz w:val="28"/>
          <w:szCs w:val="28"/>
        </w:rPr>
        <w:t>о</w:t>
      </w:r>
      <w:r w:rsidRPr="00A95D8C">
        <w:rPr>
          <w:sz w:val="28"/>
          <w:szCs w:val="28"/>
        </w:rPr>
        <w:t xml:space="preserve">тивоположное предыдущему, если на вход синхронизации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подать перепад напряжения. Управление полным тактовым импульсом, подаваемым на вход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, применяется для двухступенчатых </w:t>
      </w:r>
      <w:proofErr w:type="gramStart"/>
      <w:r w:rsidRPr="00A95D8C">
        <w:rPr>
          <w:sz w:val="28"/>
          <w:szCs w:val="28"/>
        </w:rPr>
        <w:t>триггеров .</w:t>
      </w:r>
      <w:proofErr w:type="gramEnd"/>
      <w:r w:rsidRPr="00A95D8C">
        <w:rPr>
          <w:sz w:val="28"/>
          <w:szCs w:val="28"/>
        </w:rPr>
        <w:t xml:space="preserve"> Такой триггер тоже имеет обратные связи с выходов на входы, исключающие неопределенное состо</w:t>
      </w:r>
      <w:r w:rsidRPr="00A95D8C">
        <w:rPr>
          <w:sz w:val="28"/>
          <w:szCs w:val="28"/>
        </w:rPr>
        <w:t>я</w:t>
      </w:r>
      <w:r w:rsidRPr="00A95D8C">
        <w:rPr>
          <w:sz w:val="28"/>
          <w:szCs w:val="28"/>
        </w:rPr>
        <w:t>ние триггера.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Из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можно получить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-триггер, если вход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соединить со входом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через дополнительный инвертор (рис. 5.1, </w:t>
      </w:r>
      <w:r w:rsidRPr="00A95D8C">
        <w:rPr>
          <w:i/>
          <w:sz w:val="28"/>
          <w:szCs w:val="28"/>
        </w:rPr>
        <w:t>г</w:t>
      </w:r>
      <w:r w:rsidRPr="00A95D8C">
        <w:rPr>
          <w:sz w:val="28"/>
          <w:szCs w:val="28"/>
        </w:rPr>
        <w:t xml:space="preserve">). </w:t>
      </w:r>
    </w:p>
    <w:tbl>
      <w:tblPr>
        <w:tblStyle w:val="a3"/>
        <w:tblW w:w="0" w:type="auto"/>
        <w:tblInd w:w="1260" w:type="dxa"/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1980"/>
        <w:gridCol w:w="2160"/>
      </w:tblGrid>
      <w:tr w:rsidR="007E6D8B" w:rsidRPr="00A95D8C" w:rsidTr="0097468D">
        <w:tc>
          <w:tcPr>
            <w:tcW w:w="3168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Установлено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Записано</w:t>
            </w: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K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60" w:dyaOrig="480">
                <v:shape id="_x0000_i1032" type="#_x0000_t75" style="width:33pt;height:24pt" o:ole="">
                  <v:imagedata r:id="rId14" o:title=""/>
                </v:shape>
                <o:OLEObject Type="Embed" ProgID="Equation.3" ShapeID="_x0000_i1032" DrawAspect="Content" ObjectID="_1638262721" r:id="rId15"/>
              </w:objec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60" w:dyaOrig="520">
                <v:shape id="_x0000_i1033" type="#_x0000_t75" style="width:33pt;height:26.25pt" o:ole="">
                  <v:imagedata r:id="rId16" o:title=""/>
                </v:shape>
                <o:OLEObject Type="Embed" ProgID="Equation.3" ShapeID="_x0000_i1033" DrawAspect="Content" ObjectID="_1638262722" r:id="rId17"/>
              </w:object>
            </w:r>
          </w:p>
        </w:tc>
      </w:tr>
      <w:tr w:rsidR="007E6D8B" w:rsidRPr="00A95D8C" w:rsidTr="0097468D">
        <w:tc>
          <w:tcPr>
            <w:tcW w:w="1548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lastRenderedPageBreak/>
              <w:t>0</w:t>
            </w:r>
          </w:p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Без изменений</w:t>
            </w:r>
          </w:p>
        </w:tc>
      </w:tr>
      <w:tr w:rsidR="007E6D8B" w:rsidRPr="00A95D8C" w:rsidTr="0097468D">
        <w:tc>
          <w:tcPr>
            <w:tcW w:w="1548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7E6D8B" w:rsidRPr="00A95D8C" w:rsidTr="0097468D">
        <w:tc>
          <w:tcPr>
            <w:tcW w:w="1548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Переброс</w:t>
            </w:r>
          </w:p>
        </w:tc>
      </w:tr>
      <w:tr w:rsidR="007E6D8B" w:rsidRPr="00A95D8C" w:rsidTr="0097468D">
        <w:tc>
          <w:tcPr>
            <w:tcW w:w="1548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40" w:dyaOrig="520">
                <v:shape id="_x0000_i1034" type="#_x0000_t75" style="width:21.75pt;height:26.25pt" o:ole="">
                  <v:imagedata r:id="rId18" o:title=""/>
                </v:shape>
                <o:OLEObject Type="Embed" ProgID="Equation.3" ShapeID="_x0000_i1034" DrawAspect="Content" ObjectID="_1638262723" r:id="rId19"/>
              </w:objec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80">
                <v:shape id="_x0000_i1035" type="#_x0000_t75" style="width:20.25pt;height:24pt" o:ole="">
                  <v:imagedata r:id="rId20" o:title=""/>
                </v:shape>
                <o:OLEObject Type="Embed" ProgID="Equation.3" ShapeID="_x0000_i1035" DrawAspect="Content" ObjectID="_1638262724" r:id="rId21"/>
              </w:object>
            </w:r>
          </w:p>
        </w:tc>
      </w:tr>
    </w:tbl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</w:p>
    <w:p w:rsidR="007E6D8B" w:rsidRPr="00A95D8C" w:rsidRDefault="007E6D8B" w:rsidP="007E6D8B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универсального </w:t>
      </w:r>
      <w:r w:rsidRPr="00A95D8C">
        <w:rPr>
          <w:b/>
          <w:sz w:val="28"/>
          <w:szCs w:val="28"/>
          <w:lang w:val="en-US"/>
        </w:rPr>
        <w:t>JK</w:t>
      </w:r>
      <w:r w:rsidRPr="00A95D8C">
        <w:rPr>
          <w:b/>
          <w:sz w:val="28"/>
          <w:szCs w:val="28"/>
        </w:rPr>
        <w:t xml:space="preserve"> 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36" type="#_x0000_t75" style="width:21pt;height:15pt" o:ole="">
            <v:imagedata r:id="rId22" o:title=""/>
          </v:shape>
          <o:OLEObject Type="Embed" ProgID="Equation.3" ShapeID="_x0000_i1036" DrawAspect="Content" ObjectID="_1638262725" r:id="rId23"/>
        </w:object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  <w:lang w:val="en-US" w:eastAsia="en-US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триггера, только асинхронный триггер нужно заменить на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 – триггера (рис 5.2).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67652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5.2 – Принципиальная схема для исследования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proofErr w:type="gramStart"/>
      <w:r w:rsidRPr="00A95D8C">
        <w:rPr>
          <w:sz w:val="28"/>
          <w:szCs w:val="28"/>
        </w:rPr>
        <w:t xml:space="preserve">универсального  </w:t>
      </w:r>
      <w:r w:rsidRPr="00A95D8C">
        <w:rPr>
          <w:sz w:val="28"/>
          <w:szCs w:val="28"/>
          <w:lang w:val="en-US"/>
        </w:rPr>
        <w:t>JK</w:t>
      </w:r>
      <w:proofErr w:type="gramEnd"/>
      <w:r w:rsidRPr="00A95D8C">
        <w:rPr>
          <w:sz w:val="28"/>
          <w:szCs w:val="28"/>
        </w:rPr>
        <w:t>- триггера</w:t>
      </w:r>
    </w:p>
    <w:p w:rsidR="006919DF" w:rsidRDefault="007E6D8B" w:rsidP="007E6D8B">
      <w:r>
        <w:rPr>
          <w:rFonts w:ascii="Arial" w:hAnsi="Arial" w:cs="Arial"/>
          <w:b/>
          <w:sz w:val="28"/>
          <w:szCs w:val="28"/>
        </w:rPr>
        <w:br w:type="page"/>
      </w:r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D2A4B"/>
    <w:multiLevelType w:val="hybridMultilevel"/>
    <w:tmpl w:val="9AECBDE0"/>
    <w:lvl w:ilvl="0" w:tplc="B22A84F8">
      <w:start w:val="5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8B"/>
    <w:rsid w:val="006919DF"/>
    <w:rsid w:val="007E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BE63D-C234-4055-A2AC-A8DA4FD3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4.jpeg"/><Relationship Id="rId17" Type="http://schemas.openxmlformats.org/officeDocument/2006/relationships/oleObject" Target="embeddings/oleObject6.bin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jpeg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2019-12-19T06:09:00Z</dcterms:created>
  <dcterms:modified xsi:type="dcterms:W3CDTF">2019-12-19T06:10:00Z</dcterms:modified>
</cp:coreProperties>
</file>